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2"/>
          <w:szCs w:val="32"/>
        </w:rPr>
      </w:pPr>
      <w:r>
        <w:rPr>
          <w:sz w:val="32"/>
          <w:szCs w:val="32"/>
          <w:rtl w:val="0"/>
          <w:lang w:val="en-US"/>
        </w:rPr>
        <w:t>LWVCC PROGRAM 2019-20</w:t>
      </w:r>
    </w:p>
    <w:p>
      <w:pPr>
        <w:pStyle w:val="Body"/>
        <w:bidi w:val="0"/>
      </w:pPr>
    </w:p>
    <w:p>
      <w:pPr>
        <w:pStyle w:val="Body"/>
        <w:rPr>
          <w:sz w:val="28"/>
          <w:szCs w:val="28"/>
        </w:rPr>
      </w:pPr>
      <w:r>
        <w:rPr>
          <w:sz w:val="28"/>
          <w:szCs w:val="28"/>
          <w:rtl w:val="0"/>
          <w:lang w:val="en-US"/>
        </w:rPr>
        <w:t>AREAS OF FOCUS</w:t>
      </w:r>
    </w:p>
    <w:p>
      <w:pPr>
        <w:pStyle w:val="Body"/>
        <w:bidi w:val="0"/>
      </w:pPr>
    </w:p>
    <w:p>
      <w:pPr>
        <w:pStyle w:val="Body"/>
        <w:rPr>
          <w:b w:val="1"/>
          <w:bCs w:val="1"/>
        </w:rPr>
      </w:pPr>
      <w:r>
        <w:rPr>
          <w:b w:val="1"/>
          <w:bCs w:val="1"/>
          <w:rtl w:val="0"/>
          <w:lang w:val="en-US"/>
        </w:rPr>
        <w:t>Voter Service Committee</w:t>
      </w:r>
    </w:p>
    <w:p>
      <w:pPr>
        <w:pStyle w:val="Body"/>
        <w:numPr>
          <w:ilvl w:val="0"/>
          <w:numId w:val="2"/>
        </w:numPr>
        <w:bidi w:val="0"/>
      </w:pPr>
      <w:r>
        <w:rPr>
          <w:rtl w:val="0"/>
        </w:rPr>
        <w:t>The Elections: An appropriate follow-up to improve the election process.</w:t>
      </w:r>
    </w:p>
    <w:p>
      <w:pPr>
        <w:pStyle w:val="Body"/>
        <w:numPr>
          <w:ilvl w:val="0"/>
          <w:numId w:val="2"/>
        </w:numPr>
        <w:bidi w:val="0"/>
      </w:pPr>
      <w:r>
        <w:rPr>
          <w:rtl w:val="0"/>
        </w:rPr>
        <w:t xml:space="preserve">Educating citizens on sources of voting information through the LWVCC website at </w:t>
      </w:r>
      <w:r>
        <w:rPr>
          <w:rStyle w:val="Hyperlink.0"/>
        </w:rPr>
        <w:fldChar w:fldCharType="begin" w:fldLock="0"/>
      </w:r>
      <w:r>
        <w:rPr>
          <w:rStyle w:val="Hyperlink.0"/>
        </w:rPr>
        <w:instrText xml:space="preserve"> HYPERLINK "http://www.lwvcookcounty.org"</w:instrText>
      </w:r>
      <w:r>
        <w:rPr>
          <w:rStyle w:val="Hyperlink.0"/>
        </w:rPr>
        <w:fldChar w:fldCharType="separate" w:fldLock="0"/>
      </w:r>
      <w:r>
        <w:rPr>
          <w:rStyle w:val="Hyperlink.0"/>
          <w:rtl w:val="0"/>
        </w:rPr>
        <w:t>www.lwvcookcounty.org</w:t>
      </w:r>
      <w:r>
        <w:rPr/>
        <w:fldChar w:fldCharType="end" w:fldLock="0"/>
      </w:r>
      <w:r>
        <w:rPr>
          <w:rtl w:val="0"/>
        </w:rPr>
        <w:t xml:space="preserve"> and other means.</w:t>
      </w:r>
    </w:p>
    <w:p>
      <w:pPr>
        <w:pStyle w:val="Body"/>
        <w:bidi w:val="0"/>
      </w:pPr>
    </w:p>
    <w:p>
      <w:pPr>
        <w:pStyle w:val="Body"/>
        <w:rPr>
          <w:b w:val="1"/>
          <w:bCs w:val="1"/>
        </w:rPr>
      </w:pPr>
      <w:r>
        <w:rPr>
          <w:b w:val="1"/>
          <w:bCs w:val="1"/>
          <w:rtl w:val="0"/>
          <w:lang w:val="en-US"/>
        </w:rPr>
        <w:t>Observer Corps</w:t>
      </w:r>
    </w:p>
    <w:p>
      <w:pPr>
        <w:pStyle w:val="Body"/>
        <w:bidi w:val="0"/>
      </w:pPr>
      <w:r>
        <w:rPr>
          <w:rtl w:val="0"/>
        </w:rPr>
        <w:t>Observe and report on board/committee meetings of Cook County Board, Cook County Health (CCH), Cook County Forest Preserve District and Metropolitan Water Reclamation District (MWRD) on our website under Observer Reports.</w:t>
      </w:r>
    </w:p>
    <w:p>
      <w:pPr>
        <w:pStyle w:val="Body"/>
        <w:bidi w:val="0"/>
      </w:pPr>
    </w:p>
    <w:p>
      <w:pPr>
        <w:pStyle w:val="Body"/>
        <w:rPr>
          <w:b w:val="1"/>
          <w:bCs w:val="1"/>
        </w:rPr>
      </w:pPr>
      <w:r>
        <w:rPr>
          <w:b w:val="1"/>
          <w:bCs w:val="1"/>
          <w:rtl w:val="0"/>
          <w:lang w:val="en-US"/>
        </w:rPr>
        <w:t>Budget and Structure Interest Group</w:t>
      </w:r>
    </w:p>
    <w:p>
      <w:pPr>
        <w:pStyle w:val="Body"/>
        <w:numPr>
          <w:ilvl w:val="0"/>
          <w:numId w:val="3"/>
        </w:numPr>
        <w:bidi w:val="0"/>
      </w:pPr>
      <w:r>
        <w:rPr>
          <w:rtl w:val="0"/>
        </w:rPr>
        <w:t>Cook County and MWRD government organization and oversight</w:t>
      </w:r>
    </w:p>
    <w:p>
      <w:pPr>
        <w:pStyle w:val="Body"/>
        <w:numPr>
          <w:ilvl w:val="0"/>
          <w:numId w:val="2"/>
        </w:numPr>
        <w:bidi w:val="0"/>
      </w:pPr>
      <w:r>
        <w:rPr>
          <w:rtl w:val="0"/>
        </w:rPr>
        <w:t>Transparency of board operations</w:t>
      </w:r>
    </w:p>
    <w:p>
      <w:pPr>
        <w:pStyle w:val="Body"/>
        <w:numPr>
          <w:ilvl w:val="0"/>
          <w:numId w:val="2"/>
        </w:numPr>
        <w:bidi w:val="0"/>
      </w:pPr>
      <w:r>
        <w:rPr>
          <w:rtl w:val="0"/>
        </w:rPr>
        <w:t>Observing/reporting and assessing budget processes</w:t>
      </w:r>
    </w:p>
    <w:p>
      <w:pPr>
        <w:pStyle w:val="Body"/>
        <w:numPr>
          <w:ilvl w:val="0"/>
          <w:numId w:val="2"/>
        </w:numPr>
        <w:bidi w:val="0"/>
      </w:pPr>
      <w:r>
        <w:rPr>
          <w:rtl w:val="0"/>
        </w:rPr>
        <w:t>Follow-up on applicable LWVCC positions and past studies (e.g.Performance Management and Recorder/Clerk 2020 merger)</w:t>
      </w:r>
    </w:p>
    <w:p>
      <w:pPr>
        <w:pStyle w:val="Body"/>
        <w:bidi w:val="0"/>
      </w:pPr>
    </w:p>
    <w:p>
      <w:pPr>
        <w:pStyle w:val="Body"/>
        <w:rPr>
          <w:b w:val="1"/>
          <w:bCs w:val="1"/>
        </w:rPr>
      </w:pPr>
      <w:r>
        <w:rPr>
          <w:b w:val="1"/>
          <w:bCs w:val="1"/>
          <w:rtl w:val="0"/>
          <w:lang w:val="en-US"/>
        </w:rPr>
        <w:t>Criminal Justice Interest Group</w:t>
      </w:r>
    </w:p>
    <w:p>
      <w:pPr>
        <w:pStyle w:val="Body"/>
        <w:numPr>
          <w:ilvl w:val="0"/>
          <w:numId w:val="4"/>
        </w:numPr>
        <w:bidi w:val="0"/>
      </w:pPr>
      <w:r>
        <w:rPr>
          <w:rtl w:val="0"/>
        </w:rPr>
        <w:t>Pre-trial screening and assessment and Bond Court</w:t>
      </w:r>
    </w:p>
    <w:p>
      <w:pPr>
        <w:pStyle w:val="Body"/>
        <w:numPr>
          <w:ilvl w:val="0"/>
          <w:numId w:val="2"/>
        </w:numPr>
        <w:bidi w:val="0"/>
      </w:pPr>
      <w:r>
        <w:rPr>
          <w:rtl w:val="0"/>
        </w:rPr>
        <w:t>Diversion programs and Electronic Monitoring</w:t>
      </w:r>
    </w:p>
    <w:p>
      <w:pPr>
        <w:pStyle w:val="Body"/>
        <w:numPr>
          <w:ilvl w:val="0"/>
          <w:numId w:val="2"/>
        </w:numPr>
        <w:bidi w:val="0"/>
      </w:pPr>
      <w:r>
        <w:rPr>
          <w:rtl w:val="0"/>
        </w:rPr>
        <w:t>Mental health issues within the criminal justice system</w:t>
      </w:r>
    </w:p>
    <w:p>
      <w:pPr>
        <w:pStyle w:val="Body"/>
        <w:numPr>
          <w:ilvl w:val="0"/>
          <w:numId w:val="2"/>
        </w:numPr>
        <w:bidi w:val="0"/>
      </w:pPr>
      <w:r>
        <w:rPr>
          <w:rtl w:val="0"/>
        </w:rPr>
        <w:t>Equal justice within the system</w:t>
      </w:r>
    </w:p>
    <w:p>
      <w:pPr>
        <w:pStyle w:val="Body"/>
        <w:bidi w:val="0"/>
      </w:pPr>
    </w:p>
    <w:p>
      <w:pPr>
        <w:pStyle w:val="Body"/>
        <w:rPr>
          <w:b w:val="1"/>
          <w:bCs w:val="1"/>
        </w:rPr>
      </w:pPr>
      <w:r>
        <w:rPr>
          <w:b w:val="1"/>
          <w:bCs w:val="1"/>
          <w:rtl w:val="0"/>
          <w:lang w:val="en-US"/>
        </w:rPr>
        <w:t>Cook County Health Interest Group</w:t>
      </w:r>
    </w:p>
    <w:p>
      <w:pPr>
        <w:pStyle w:val="Body"/>
        <w:numPr>
          <w:ilvl w:val="0"/>
          <w:numId w:val="5"/>
        </w:numPr>
        <w:bidi w:val="0"/>
      </w:pPr>
      <w:r>
        <w:rPr>
          <w:rtl w:val="0"/>
        </w:rPr>
        <w:t>Monitoring of Independent Board and its committees</w:t>
      </w:r>
    </w:p>
    <w:p>
      <w:pPr>
        <w:pStyle w:val="Body"/>
        <w:numPr>
          <w:ilvl w:val="0"/>
          <w:numId w:val="2"/>
        </w:numPr>
        <w:bidi w:val="0"/>
      </w:pPr>
      <w:r>
        <w:rPr>
          <w:rtl w:val="0"/>
        </w:rPr>
        <w:t>Quality of services at Stroger and Provident Hospitals, and its Ambulatory Care Centers</w:t>
      </w:r>
    </w:p>
    <w:p>
      <w:pPr>
        <w:pStyle w:val="Body"/>
        <w:numPr>
          <w:ilvl w:val="0"/>
          <w:numId w:val="2"/>
        </w:numPr>
        <w:bidi w:val="0"/>
      </w:pPr>
      <w:r>
        <w:rPr>
          <w:rtl w:val="0"/>
        </w:rPr>
        <w:t>Monitor growth efforts, budget, and sustainability of CCH</w:t>
      </w:r>
    </w:p>
    <w:p>
      <w:pPr>
        <w:pStyle w:val="Body"/>
        <w:bidi w:val="0"/>
      </w:pPr>
    </w:p>
    <w:p>
      <w:pPr>
        <w:pStyle w:val="Body"/>
        <w:rPr>
          <w:b w:val="1"/>
          <w:bCs w:val="1"/>
        </w:rPr>
      </w:pPr>
      <w:r>
        <w:rPr>
          <w:b w:val="1"/>
          <w:bCs w:val="1"/>
          <w:rtl w:val="0"/>
          <w:lang w:val="en-US"/>
        </w:rPr>
        <w:t>Housing Affordability and Residential Desegregation (HARD) Interest Group</w:t>
      </w:r>
    </w:p>
    <w:p>
      <w:pPr>
        <w:pStyle w:val="Body"/>
        <w:numPr>
          <w:ilvl w:val="0"/>
          <w:numId w:val="6"/>
        </w:numPr>
        <w:bidi w:val="0"/>
      </w:pPr>
      <w:r>
        <w:rPr>
          <w:rtl w:val="0"/>
        </w:rPr>
        <w:t>Availability of affordable family housing throughout Cook County</w:t>
      </w:r>
    </w:p>
    <w:p>
      <w:pPr>
        <w:pStyle w:val="Body"/>
        <w:numPr>
          <w:ilvl w:val="0"/>
          <w:numId w:val="2"/>
        </w:numPr>
        <w:bidi w:val="0"/>
      </w:pPr>
      <w:r>
        <w:rPr>
          <w:rtl w:val="0"/>
        </w:rPr>
        <w:t>Methods of increasing the supply of affordable housing throughout the county while reducing residential segregation created by previous government decisions</w:t>
      </w:r>
    </w:p>
    <w:p>
      <w:pPr>
        <w:pStyle w:val="Body"/>
        <w:bidi w:val="0"/>
      </w:pPr>
    </w:p>
    <w:p>
      <w:pPr>
        <w:pStyle w:val="Body"/>
        <w:rPr>
          <w:b w:val="1"/>
          <w:bCs w:val="1"/>
          <w:sz w:val="26"/>
          <w:szCs w:val="26"/>
        </w:rPr>
      </w:pPr>
      <w:r>
        <w:rPr>
          <w:b w:val="1"/>
          <w:bCs w:val="1"/>
          <w:sz w:val="26"/>
          <w:szCs w:val="26"/>
          <w:rtl w:val="0"/>
          <w:lang w:val="en-US"/>
        </w:rPr>
        <w:t>SUMMARY OF LWVCC POSITIONS</w:t>
      </w:r>
    </w:p>
    <w:p>
      <w:pPr>
        <w:pStyle w:val="Body"/>
        <w:bidi w:val="0"/>
      </w:pPr>
      <w:r>
        <w:rPr>
          <w:rtl w:val="0"/>
        </w:rPr>
        <w:t xml:space="preserve">for the complete positions see </w:t>
      </w:r>
      <w:r>
        <w:rPr>
          <w:b w:val="1"/>
          <w:bCs w:val="1"/>
          <w:u w:val="single"/>
          <w:rtl w:val="0"/>
          <w:lang w:val="en-US"/>
        </w:rPr>
        <w:t>Where We Stand</w:t>
      </w:r>
      <w:r>
        <w:rPr>
          <w:rtl w:val="0"/>
        </w:rPr>
        <w:t xml:space="preserve"> at </w:t>
      </w:r>
      <w:r>
        <w:rPr>
          <w:rStyle w:val="Hyperlink.0"/>
        </w:rPr>
        <w:fldChar w:fldCharType="begin" w:fldLock="0"/>
      </w:r>
      <w:r>
        <w:rPr>
          <w:rStyle w:val="Hyperlink.0"/>
        </w:rPr>
        <w:instrText xml:space="preserve"> HYPERLINK "http://www.lwvcookcounty.org"</w:instrText>
      </w:r>
      <w:r>
        <w:rPr>
          <w:rStyle w:val="Hyperlink.0"/>
        </w:rPr>
        <w:fldChar w:fldCharType="separate" w:fldLock="0"/>
      </w:r>
      <w:r>
        <w:rPr>
          <w:rStyle w:val="Hyperlink.0"/>
          <w:rtl w:val="0"/>
        </w:rPr>
        <w:t>www.lwvcookcounty.org</w:t>
      </w:r>
      <w:r>
        <w:rPr/>
        <w:fldChar w:fldCharType="end" w:fldLock="0"/>
      </w:r>
    </w:p>
    <w:p>
      <w:pPr>
        <w:pStyle w:val="Body"/>
        <w:rPr>
          <w:b w:val="1"/>
          <w:bCs w:val="1"/>
        </w:rPr>
      </w:pPr>
    </w:p>
    <w:p>
      <w:pPr>
        <w:pStyle w:val="Body"/>
        <w:bidi w:val="0"/>
      </w:pPr>
      <w:r>
        <w:rPr>
          <w:b w:val="1"/>
          <w:bCs w:val="1"/>
          <w:rtl w:val="0"/>
          <w:lang w:val="en-US"/>
        </w:rPr>
        <w:t>COUNTY GOVERNMENT</w:t>
      </w:r>
      <w:r>
        <w:rPr>
          <w:rtl w:val="0"/>
        </w:rPr>
        <w:t xml:space="preserve"> - Supports measures that improve the structure and function of Cook County government, including retention of single-member districts, separation of powers, a timely budget process, government transparency, standards for elected vs. appointed offices, and/or consolidation of offices, and inter-governmental cooperation.</w:t>
      </w:r>
    </w:p>
    <w:p>
      <w:pPr>
        <w:pStyle w:val="Body"/>
        <w:bidi w:val="0"/>
      </w:pPr>
      <w:r>
        <w:rPr>
          <w:b w:val="1"/>
          <w:bCs w:val="1"/>
          <w:rtl w:val="0"/>
          <w:lang w:val="en-US"/>
        </w:rPr>
        <w:t>CRIMINAL JUSTICE</w:t>
      </w:r>
      <w:r>
        <w:rPr>
          <w:rtl w:val="0"/>
        </w:rPr>
        <w:t xml:space="preserve"> - Supports measures that improve adult corrections and the criminal courts, increase and improve diversion programs, and improve judicial sentencing and oversight of correctional facilities.</w:t>
      </w:r>
    </w:p>
    <w:p>
      <w:pPr>
        <w:pStyle w:val="Body"/>
        <w:bidi w:val="0"/>
      </w:pPr>
      <w:r>
        <w:rPr>
          <w:b w:val="1"/>
          <w:bCs w:val="1"/>
          <w:rtl w:val="0"/>
          <w:lang w:val="en-US"/>
        </w:rPr>
        <w:t xml:space="preserve">HEALTHCARE </w:t>
      </w:r>
      <w:r>
        <w:rPr>
          <w:rtl w:val="0"/>
        </w:rPr>
        <w:t>- Supports measures that provide public health facilities that are accessible to those who need services, and provides for citizen input in planning for health care with emphasis on cost containment and consumer involvement.</w:t>
      </w:r>
    </w:p>
    <w:p>
      <w:pPr>
        <w:pStyle w:val="Body"/>
        <w:bidi w:val="0"/>
      </w:pPr>
      <w:r>
        <w:rPr>
          <w:b w:val="1"/>
          <w:bCs w:val="1"/>
          <w:rtl w:val="0"/>
          <w:lang w:val="en-US"/>
        </w:rPr>
        <w:t>JUVENILE JUSTICE, TOWNSHIP SCHOOL SYSTEM</w:t>
      </w:r>
      <w:r>
        <w:rPr>
          <w:rtl w:val="0"/>
        </w:rPr>
        <w:t xml:space="preserve"> - See </w:t>
      </w:r>
      <w:r>
        <w:rPr>
          <w:b w:val="1"/>
          <w:bCs w:val="1"/>
          <w:u w:val="single"/>
          <w:rtl w:val="0"/>
          <w:lang w:val="en-US"/>
        </w:rPr>
        <w:t xml:space="preserve">Where We Stand </w:t>
      </w:r>
      <w:r>
        <w:rPr>
          <w:rtl w:val="0"/>
        </w:rPr>
        <w:t>for position wording. LWVCC not active at this time.</w:t>
      </w:r>
    </w:p>
    <w:sectPr>
      <w:headerReference w:type="default" r:id="rId4"/>
      <w:footerReference w:type="default" r:id="rId5"/>
      <w:pgSz w:w="12240" w:h="15840" w:orient="portrait"/>
      <w:pgMar w:top="1080" w:right="1440" w:bottom="1440" w:left="144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