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LWVCC Forest Preserve Annual Report 2021-2022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sz w:val="26"/>
          <w:szCs w:val="26"/>
          <w:rtl w:val="0"/>
          <w:lang w:val="en-US"/>
        </w:rPr>
        <w:t>Forest Preserve District Board of Commissioners voted unanimously on December 14, 2021, to finalize language 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"https://fpdcc.legistar.com/LegislationDetail.aspx?ID=5353906&amp;GUID=08D291E9-563F-4B3F-82B8-7A1ECC9CCBC2&amp;Options=Advanced&amp;Search="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21-0532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for a November 8, 2022, referendum.  It will ask voters to raise the district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tax levy by .025 percentage points which will increase taxes of a $250,000 home by about $20.00 a year.  If approved, the higher tax will go into effect in 2023.  Forest Preserve District is not a home rule government and needs approval from voters to increase tax rate.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The money will: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Conserve and restore land to good health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Protect water quality of rivers, lakes and streams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 xml:space="preserve">Provide natural flood water storage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Protect wildlife habitat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Protect forests to improve air quality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 xml:space="preserve">Improve and maintain existing forest preserves and trails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Address more than $60 million in deferred capital maintenance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Shore up the district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pension fund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>Generate jobs for underserved/low income communities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*</w:t>
        <w:tab/>
        <w:t xml:space="preserve">Buy good quality land as it becomes available to expand the current </w:t>
      </w:r>
      <w:r>
        <w:rPr>
          <w:rStyle w:val="None"/>
          <w:sz w:val="26"/>
          <w:szCs w:val="26"/>
        </w:rPr>
        <w:tab/>
        <w:tab/>
        <w:tab/>
      </w:r>
      <w:r>
        <w:rPr>
          <w:rStyle w:val="None"/>
          <w:sz w:val="26"/>
          <w:szCs w:val="26"/>
          <w:rtl w:val="0"/>
          <w:lang w:val="en-US"/>
        </w:rPr>
        <w:t>70,000 acres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The district created the Next Century Conservation Plan (NCCP) as a strategic plan. In order to continue the plan, the increased tax rate is needed to create consistent, foundational revenues.  When the pandemic hit, the district needed to pull $17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million from reserve funds in order to meet the annual budget.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The district again pulled $17 million from the reserve fund to meet this year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2022 $137 million annual budget.  Currently, there are 15,000 acres under restoration. Increased revenue, estimated to be $42 million, will support meeting the Next Century Conservation Plan, which includes a blueprint to purchase 20,000 additional acres by 2040.  If the referendum does not pass, the district may have to pare down some of the current 7</w:t>
      </w:r>
      <w:r>
        <w:rPr>
          <w:rStyle w:val="None"/>
          <w:sz w:val="26"/>
          <w:szCs w:val="26"/>
          <w:rtl w:val="0"/>
          <w:lang w:val="en-US"/>
        </w:rPr>
        <w:t>0</w:t>
      </w:r>
      <w:r>
        <w:rPr>
          <w:rStyle w:val="None"/>
          <w:sz w:val="26"/>
          <w:szCs w:val="26"/>
          <w:rtl w:val="0"/>
          <w:lang w:val="en-US"/>
        </w:rPr>
        <w:t xml:space="preserve">,000 acres in order to continue meeting the operational needs. 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The LWV Cook County board voted to approve supporting the referendum at the board meeting on Tuesday, February 8, 2022 and also approved becoming a VoteYes coalition partner. The VoteYes coalition consists of over 140 organizations, including LWVCC, Palatine Area, Chicago, Wilmette, LaGrange, Oak Park/River Forest, Glenview/Glencoe, Park Ridge and Evanston/Skokie.  Public education will begin after the June primary.  Education for local league chapters and walks in the forests are being offered now.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Walks- all limited to 20 people: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Wed. May 18, 10:30-11:30 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Little Red Schoolhouse Nature Center, 9800 Willow Springs Road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Willow Springs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Thurs. Sept 8, 10am to noon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Crabtree Nature Center, 3 Stover Road (off of Palatine Road by Rte 62)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Barrington Hills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Tues, Sept. 13, 10am to noon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Sand Ridge Nature Center, 15891 Paxton Ave,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South Holland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LWV - Cook County Forest Preserves Interest Team members: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Michele Niccolai</w:t>
      </w:r>
      <w:r>
        <w:rPr>
          <w:rStyle w:val="None"/>
          <w:sz w:val="26"/>
          <w:szCs w:val="26"/>
          <w:rtl w:val="0"/>
          <w:lang w:val="en-US"/>
        </w:rPr>
        <w:t>, Diane Scott, Krista Grimm</w:t>
      </w:r>
      <w:r>
        <w:rPr>
          <w:rStyle w:val="None"/>
          <w:sz w:val="26"/>
          <w:szCs w:val="26"/>
          <w:rtl w:val="0"/>
          <w:lang w:val="en-US"/>
        </w:rPr>
        <w:t xml:space="preserve"> (La Grange Area)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Carolyn Cosentino (Homewood/Flossmoor) 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Laura Davis ( Palatine Area)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Trudy Turner (Evanston/Skokie)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Henrietta Saunders</w:t>
      </w:r>
      <w:r>
        <w:rPr>
          <w:rStyle w:val="None"/>
          <w:sz w:val="26"/>
          <w:szCs w:val="26"/>
          <w:rtl w:val="0"/>
          <w:lang w:val="en-US"/>
        </w:rPr>
        <w:t>, Barbara Palmer</w:t>
      </w:r>
      <w:r>
        <w:rPr>
          <w:rStyle w:val="None"/>
          <w:sz w:val="26"/>
          <w:szCs w:val="26"/>
          <w:rtl w:val="0"/>
          <w:lang w:val="en-US"/>
        </w:rPr>
        <w:t xml:space="preserve"> (Glenview/Glencoe)</w:t>
      </w:r>
    </w:p>
    <w:p>
      <w:pPr>
        <w:pStyle w:val="Body A"/>
        <w:rPr>
          <w:rStyle w:val="None"/>
        </w:rPr>
      </w:pPr>
      <w:r>
        <w:rPr>
          <w:rStyle w:val="None"/>
          <w:sz w:val="26"/>
          <w:szCs w:val="26"/>
          <w:rtl w:val="0"/>
          <w:lang w:val="en-US"/>
        </w:rPr>
        <w:t>Debby Halpern (Chicago)</w:t>
      </w: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</w:p>
    <w:p>
      <w:pPr>
        <w:pStyle w:val="Default"/>
        <w:spacing w:before="0" w:after="320" w:line="240" w:lineRule="auto"/>
        <w:rPr>
          <w:rStyle w:val="None"/>
          <w:rFonts w:ascii="Avenir Book" w:cs="Avenir Book" w:hAnsi="Avenir Book" w:eastAsia="Avenir Book"/>
          <w:outline w:val="0"/>
          <w:color w:val="2a2f37"/>
          <w:sz w:val="32"/>
          <w:szCs w:val="32"/>
          <w:u w:color="2a2f37"/>
          <w:shd w:val="clear" w:color="auto" w:fill="ffffff"/>
          <w14:textFill>
            <w14:solidFill>
              <w14:srgbClr w14:val="2A2F37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Default"/>
        <w:spacing w:before="0" w:line="240" w:lineRule="auto"/>
        <w:rPr>
          <w:rStyle w:val="None"/>
          <w:rFonts w:ascii="Calibri" w:cs="Calibri" w:hAnsi="Calibri" w:eastAsia="Calibri"/>
          <w:sz w:val="22"/>
          <w:szCs w:val="22"/>
          <w:u w:color="000000"/>
          <w:lang w:val="en-US"/>
        </w:rPr>
      </w:pPr>
    </w:p>
    <w:p>
      <w:pPr>
        <w:pStyle w:val="Body A"/>
        <w:rPr>
          <w:rStyle w:val="None"/>
          <w:rFonts w:ascii="Calibri" w:cs="Calibri" w:hAnsi="Calibri" w:eastAsia="Calibri"/>
          <w:u w:color="000000"/>
        </w:rPr>
      </w:pPr>
    </w:p>
    <w:p>
      <w:pPr>
        <w:pStyle w:val="Body A"/>
      </w:pPr>
      <w:r>
        <w:rPr>
          <w:rStyle w:val="None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38bb5"/>
      <w:sz w:val="26"/>
      <w:szCs w:val="26"/>
      <w:u w:color="138bb5"/>
      <w14:textFill>
        <w14:solidFill>
          <w14:srgbClr w14:val="138BB5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